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5191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F-005217-F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1621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005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092011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F-005217-F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