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83128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M-005787-M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45526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41511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KIT2FNP38G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M-005787-M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