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29118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F-005085-F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3741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65358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43178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245961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F-005085-F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