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M-004207-M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70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8642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M-004207-M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